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BD" w:rsidRPr="001B282E" w:rsidRDefault="00EC77BD" w:rsidP="001B282E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C77BD" w:rsidRPr="005516CE" w:rsidRDefault="00EC77BD" w:rsidP="00EC77BD">
      <w:pPr>
        <w:numPr>
          <w:ilvl w:val="0"/>
          <w:numId w:val="1"/>
        </w:numPr>
        <w:rPr>
          <w:rFonts w:asciiTheme="majorHAnsi" w:hAnsiTheme="majorHAnsi" w:cs="Arial"/>
          <w:lang w:val="en-AU"/>
        </w:rPr>
      </w:pPr>
      <w:r w:rsidRPr="005516CE">
        <w:rPr>
          <w:rFonts w:asciiTheme="majorHAnsi" w:hAnsiTheme="majorHAnsi" w:cs="Arial"/>
          <w:lang w:val="en-AU"/>
        </w:rPr>
        <w:t>A – Working consistently well above the intended outcomes in a KLA</w:t>
      </w:r>
    </w:p>
    <w:p w:rsidR="00EC77BD" w:rsidRPr="005516CE" w:rsidRDefault="00EC77BD" w:rsidP="00EC77BD">
      <w:pPr>
        <w:numPr>
          <w:ilvl w:val="0"/>
          <w:numId w:val="1"/>
        </w:numPr>
        <w:rPr>
          <w:rFonts w:asciiTheme="majorHAnsi" w:hAnsiTheme="majorHAnsi" w:cs="Arial"/>
          <w:lang w:val="en-AU"/>
        </w:rPr>
      </w:pPr>
      <w:r w:rsidRPr="005516CE">
        <w:rPr>
          <w:rFonts w:asciiTheme="majorHAnsi" w:hAnsiTheme="majorHAnsi" w:cs="Arial"/>
          <w:lang w:val="en-AU"/>
        </w:rPr>
        <w:t>B – Working consistently above the intended outcomes in a KLA</w:t>
      </w:r>
    </w:p>
    <w:p w:rsidR="00EC77BD" w:rsidRPr="005516CE" w:rsidRDefault="00EC77BD" w:rsidP="00EC77BD">
      <w:pPr>
        <w:numPr>
          <w:ilvl w:val="0"/>
          <w:numId w:val="1"/>
        </w:numPr>
        <w:rPr>
          <w:rFonts w:asciiTheme="majorHAnsi" w:hAnsiTheme="majorHAnsi" w:cs="Arial"/>
          <w:lang w:val="en-AU"/>
        </w:rPr>
      </w:pPr>
      <w:r w:rsidRPr="005516CE">
        <w:rPr>
          <w:rFonts w:asciiTheme="majorHAnsi" w:hAnsiTheme="majorHAnsi" w:cs="Arial"/>
          <w:lang w:val="en-AU"/>
        </w:rPr>
        <w:t>C - Working consistently or most of the time at the intended outcomes in a KLA</w:t>
      </w:r>
    </w:p>
    <w:p w:rsidR="00EC77BD" w:rsidRPr="005516CE" w:rsidRDefault="00EC77BD" w:rsidP="00EC77BD">
      <w:pPr>
        <w:numPr>
          <w:ilvl w:val="0"/>
          <w:numId w:val="1"/>
        </w:numPr>
        <w:rPr>
          <w:rFonts w:asciiTheme="majorHAnsi" w:hAnsiTheme="majorHAnsi" w:cs="Arial"/>
          <w:lang w:val="en-AU"/>
        </w:rPr>
      </w:pPr>
      <w:r w:rsidRPr="005516CE">
        <w:rPr>
          <w:rFonts w:asciiTheme="majorHAnsi" w:hAnsiTheme="majorHAnsi" w:cs="Arial"/>
          <w:lang w:val="en-AU"/>
        </w:rPr>
        <w:t>D - Working independently but consistently below the intended outcomes</w:t>
      </w:r>
    </w:p>
    <w:p w:rsidR="00EC77BD" w:rsidRPr="005516CE" w:rsidRDefault="00EC77BD" w:rsidP="00EC77BD">
      <w:pPr>
        <w:numPr>
          <w:ilvl w:val="0"/>
          <w:numId w:val="1"/>
        </w:numPr>
        <w:rPr>
          <w:rFonts w:asciiTheme="majorHAnsi" w:hAnsiTheme="majorHAnsi" w:cs="Arial"/>
          <w:lang w:val="en-AU"/>
        </w:rPr>
      </w:pPr>
      <w:r w:rsidRPr="005516CE">
        <w:rPr>
          <w:rFonts w:asciiTheme="majorHAnsi" w:hAnsiTheme="majorHAnsi" w:cs="Arial"/>
          <w:lang w:val="en-AU"/>
        </w:rPr>
        <w:t>E – Working below the intended outcomes and requires assistance to complete tasks</w:t>
      </w:r>
    </w:p>
    <w:p w:rsidR="001B282E" w:rsidRPr="005516CE" w:rsidRDefault="001B282E">
      <w:pPr>
        <w:rPr>
          <w:rFonts w:asciiTheme="majorHAnsi" w:hAnsiTheme="majorHAnsi" w:cs="Arial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352"/>
        <w:gridCol w:w="6"/>
        <w:gridCol w:w="620"/>
        <w:gridCol w:w="6"/>
        <w:gridCol w:w="633"/>
        <w:gridCol w:w="632"/>
        <w:gridCol w:w="6"/>
        <w:gridCol w:w="620"/>
        <w:gridCol w:w="7"/>
        <w:gridCol w:w="590"/>
      </w:tblGrid>
      <w:tr w:rsidR="005A3799" w:rsidRPr="005516CE" w:rsidTr="005A3799"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9" w:rsidRPr="005516CE" w:rsidRDefault="005A3799" w:rsidP="005A37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6CE">
              <w:rPr>
                <w:rFonts w:asciiTheme="majorHAnsi" w:hAnsiTheme="majorHAns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HSIE</w:t>
            </w:r>
          </w:p>
          <w:p w:rsidR="005A3799" w:rsidRPr="005516CE" w:rsidRDefault="005A3799" w:rsidP="005A37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6CE">
              <w:rPr>
                <w:rFonts w:asciiTheme="majorHAnsi" w:hAnsiTheme="majorHAns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ENS3.5 </w:t>
            </w:r>
            <w:r w:rsidRPr="005516CE">
              <w:rPr>
                <w:rFonts w:asciiTheme="majorHAnsi" w:hAnsiTheme="majorHAnsi" w:cs="Arial"/>
                <w:b/>
                <w:bCs/>
              </w:rPr>
              <w:t xml:space="preserve">Demonstrates an understanding of the interconnectedness between Australia and global environments and how individuals and groups can act in an ecologically responsible manner. </w:t>
            </w:r>
          </w:p>
          <w:p w:rsidR="005A3799" w:rsidRPr="005516CE" w:rsidRDefault="005A3799" w:rsidP="005A3799">
            <w:pPr>
              <w:rPr>
                <w:rFonts w:asciiTheme="majorHAnsi" w:hAnsiTheme="majorHAnsi" w:cs="Arial"/>
              </w:rPr>
            </w:pPr>
          </w:p>
        </w:tc>
      </w:tr>
      <w:tr w:rsidR="00EC77BD" w:rsidRPr="005516CE" w:rsidTr="005A3799">
        <w:tc>
          <w:tcPr>
            <w:tcW w:w="5352" w:type="dxa"/>
            <w:tcBorders>
              <w:top w:val="single" w:sz="4" w:space="0" w:color="auto"/>
            </w:tcBorders>
          </w:tcPr>
          <w:p w:rsidR="00EC77BD" w:rsidRPr="005516CE" w:rsidRDefault="00EC77BD" w:rsidP="005A3799">
            <w:pPr>
              <w:rPr>
                <w:rFonts w:asciiTheme="majorHAnsi" w:hAnsiTheme="majorHAnsi" w:cs="Arial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</w:tcBorders>
          </w:tcPr>
          <w:p w:rsidR="00EC77BD" w:rsidRPr="005516CE" w:rsidRDefault="005A3799" w:rsidP="005A3799">
            <w:pPr>
              <w:jc w:val="center"/>
              <w:rPr>
                <w:rFonts w:asciiTheme="majorHAnsi" w:hAnsiTheme="majorHAnsi" w:cs="Arial"/>
              </w:rPr>
            </w:pPr>
            <w:r w:rsidRPr="005516CE">
              <w:rPr>
                <w:rFonts w:asciiTheme="majorHAnsi" w:hAnsiTheme="majorHAnsi" w:cs="Arial"/>
              </w:rPr>
              <w:t>A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EC77BD" w:rsidRPr="005516CE" w:rsidRDefault="005A3799" w:rsidP="005A3799">
            <w:pPr>
              <w:jc w:val="center"/>
              <w:rPr>
                <w:rFonts w:asciiTheme="majorHAnsi" w:hAnsiTheme="majorHAnsi" w:cs="Arial"/>
              </w:rPr>
            </w:pPr>
            <w:r w:rsidRPr="005516CE">
              <w:rPr>
                <w:rFonts w:asciiTheme="majorHAnsi" w:hAnsiTheme="majorHAnsi" w:cs="Arial"/>
              </w:rPr>
              <w:t>B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EC77BD" w:rsidRPr="005516CE" w:rsidRDefault="005A3799" w:rsidP="005A3799">
            <w:pPr>
              <w:jc w:val="center"/>
              <w:rPr>
                <w:rFonts w:asciiTheme="majorHAnsi" w:hAnsiTheme="majorHAnsi" w:cs="Arial"/>
              </w:rPr>
            </w:pPr>
            <w:r w:rsidRPr="005516CE">
              <w:rPr>
                <w:rFonts w:asciiTheme="majorHAnsi" w:hAnsiTheme="majorHAnsi" w:cs="Arial"/>
              </w:rPr>
              <w:t>C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</w:tcBorders>
          </w:tcPr>
          <w:p w:rsidR="00EC77BD" w:rsidRPr="005516CE" w:rsidRDefault="005A3799" w:rsidP="005A3799">
            <w:pPr>
              <w:jc w:val="center"/>
              <w:rPr>
                <w:rFonts w:asciiTheme="majorHAnsi" w:hAnsiTheme="majorHAnsi" w:cs="Arial"/>
              </w:rPr>
            </w:pPr>
            <w:r w:rsidRPr="005516CE">
              <w:rPr>
                <w:rFonts w:asciiTheme="majorHAnsi" w:hAnsiTheme="majorHAnsi" w:cs="Arial"/>
              </w:rPr>
              <w:t>D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EC77BD" w:rsidRPr="005516CE" w:rsidRDefault="005A3799" w:rsidP="005A3799">
            <w:pPr>
              <w:jc w:val="center"/>
              <w:rPr>
                <w:rFonts w:asciiTheme="majorHAnsi" w:hAnsiTheme="majorHAnsi" w:cs="Arial"/>
              </w:rPr>
            </w:pPr>
            <w:r w:rsidRPr="005516CE">
              <w:rPr>
                <w:rFonts w:asciiTheme="majorHAnsi" w:hAnsiTheme="majorHAnsi" w:cs="Arial"/>
              </w:rPr>
              <w:t>E</w:t>
            </w:r>
          </w:p>
        </w:tc>
      </w:tr>
      <w:tr w:rsidR="00EC77BD" w:rsidRPr="005516CE" w:rsidTr="005A3799">
        <w:tc>
          <w:tcPr>
            <w:tcW w:w="5352" w:type="dxa"/>
          </w:tcPr>
          <w:p w:rsidR="00EC77BD" w:rsidRPr="005516CE" w:rsidRDefault="005A3799" w:rsidP="005516CE">
            <w:pPr>
              <w:pStyle w:val="NormalWeb"/>
              <w:rPr>
                <w:rFonts w:asciiTheme="majorHAnsi" w:hAnsiTheme="majorHAnsi" w:cs="Arial"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Locates and describes patterns of human involvement in environmental areas of Australia, </w:t>
            </w:r>
            <w:proofErr w:type="spellStart"/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eg</w:t>
            </w:r>
            <w:proofErr w:type="spellEnd"/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human use of rainforest areas or river systems such as the Murray- Darling Basin </w:t>
            </w:r>
          </w:p>
        </w:tc>
        <w:tc>
          <w:tcPr>
            <w:tcW w:w="632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2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90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C77BD" w:rsidRPr="005516CE" w:rsidTr="005A3799">
        <w:tc>
          <w:tcPr>
            <w:tcW w:w="5352" w:type="dxa"/>
          </w:tcPr>
          <w:p w:rsidR="00EC77BD" w:rsidRPr="005516CE" w:rsidRDefault="005516CE" w:rsidP="005516CE">
            <w:pPr>
              <w:pStyle w:val="NormalWeb"/>
              <w:rPr>
                <w:rFonts w:asciiTheme="majorHAnsi" w:hAnsiTheme="majorHAnsi" w:cs="Arial"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Explains</w:t>
            </w:r>
            <w:r w:rsidR="005A3799"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the effects of human changes on an environment, evaluating the positive and negative aspects of these changes </w:t>
            </w:r>
          </w:p>
        </w:tc>
        <w:tc>
          <w:tcPr>
            <w:tcW w:w="632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2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90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C77BD" w:rsidRPr="005516CE" w:rsidTr="005A3799">
        <w:tc>
          <w:tcPr>
            <w:tcW w:w="5352" w:type="dxa"/>
          </w:tcPr>
          <w:p w:rsidR="00EC77BD" w:rsidRPr="005516CE" w:rsidRDefault="005A3799" w:rsidP="005516CE">
            <w:pPr>
              <w:pStyle w:val="NormalWeb"/>
              <w:rPr>
                <w:rFonts w:asciiTheme="majorHAnsi" w:hAnsiTheme="majorHAnsi" w:cs="Arial"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</w:t>
            </w:r>
            <w:r w:rsidR="005516CE"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Explains</w:t>
            </w:r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the effects of natural changes on the environment, such as floods, earthquakes and fires, and how people respond to these changes </w:t>
            </w:r>
          </w:p>
        </w:tc>
        <w:tc>
          <w:tcPr>
            <w:tcW w:w="632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2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90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C77BD" w:rsidRPr="005516CE" w:rsidTr="005A3799">
        <w:tc>
          <w:tcPr>
            <w:tcW w:w="5352" w:type="dxa"/>
          </w:tcPr>
          <w:p w:rsidR="00EC77BD" w:rsidRPr="005516CE" w:rsidRDefault="005516CE" w:rsidP="005516CE">
            <w:pPr>
              <w:pStyle w:val="NormalWeb"/>
              <w:rPr>
                <w:rFonts w:asciiTheme="majorHAnsi" w:hAnsiTheme="majorHAnsi" w:cs="Arial"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Participates</w:t>
            </w:r>
            <w:r w:rsidR="005A3799"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in the maintenance or improvement of an environment, </w:t>
            </w:r>
            <w:proofErr w:type="spellStart"/>
            <w:r w:rsidR="005A3799"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eg</w:t>
            </w:r>
            <w:proofErr w:type="spellEnd"/>
            <w:r w:rsidR="005A3799"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supports bush regeneration </w:t>
            </w:r>
          </w:p>
        </w:tc>
        <w:tc>
          <w:tcPr>
            <w:tcW w:w="632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2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90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C77BD" w:rsidRPr="005516CE" w:rsidTr="005A3799">
        <w:tc>
          <w:tcPr>
            <w:tcW w:w="5352" w:type="dxa"/>
          </w:tcPr>
          <w:p w:rsidR="00EC77BD" w:rsidRPr="005516CE" w:rsidRDefault="005516CE" w:rsidP="005516CE">
            <w:pPr>
              <w:pStyle w:val="NormalWeb"/>
              <w:rPr>
                <w:rFonts w:asciiTheme="majorHAnsi" w:hAnsiTheme="majorHAnsi" w:cs="Arial"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Evaluates</w:t>
            </w:r>
            <w:r w:rsidR="005A3799"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a variety of ways of addressing environmental problems in Australia and other countries </w:t>
            </w:r>
          </w:p>
        </w:tc>
        <w:tc>
          <w:tcPr>
            <w:tcW w:w="632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2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33" w:type="dxa"/>
            <w:gridSpan w:val="3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90" w:type="dxa"/>
          </w:tcPr>
          <w:p w:rsidR="00EC77BD" w:rsidRPr="005516CE" w:rsidRDefault="00EC77BD" w:rsidP="005A379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A3799" w:rsidRPr="005516CE" w:rsidTr="005A379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358" w:type="dxa"/>
            <w:gridSpan w:val="2"/>
          </w:tcPr>
          <w:p w:rsidR="005A3799" w:rsidRPr="005516CE" w:rsidRDefault="005A3799" w:rsidP="005A3799">
            <w:pPr>
              <w:pStyle w:val="NormalWeb"/>
              <w:rPr>
                <w:rFonts w:asciiTheme="majorHAnsi" w:hAnsiTheme="majorHAnsi" w:cs="Arial"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</w:t>
            </w:r>
            <w:r w:rsidR="005516CE"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Uses</w:t>
            </w:r>
            <w:r w:rsidRPr="005516C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 xml:space="preserve"> geographical terminology and tools to locate and investigate environments </w:t>
            </w:r>
          </w:p>
        </w:tc>
        <w:tc>
          <w:tcPr>
            <w:tcW w:w="620" w:type="dxa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9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8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20" w:type="dxa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</w:tr>
      <w:tr w:rsidR="00666EB3" w:rsidRPr="005516CE" w:rsidTr="00666EB3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8472" w:type="dxa"/>
            <w:gridSpan w:val="10"/>
          </w:tcPr>
          <w:p w:rsidR="00666EB3" w:rsidRPr="005516CE" w:rsidRDefault="00666EB3" w:rsidP="00666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5516CE">
              <w:rPr>
                <w:rFonts w:asciiTheme="majorHAnsi" w:hAnsiTheme="majorHAnsi" w:cs="Arial"/>
                <w:b/>
              </w:rPr>
              <w:t>English</w:t>
            </w:r>
          </w:p>
          <w:p w:rsidR="00666EB3" w:rsidRDefault="00666EB3" w:rsidP="00666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5516CE">
              <w:rPr>
                <w:rFonts w:asciiTheme="majorHAnsi" w:hAnsiTheme="majorHAnsi" w:cs="Arial"/>
                <w:b/>
              </w:rPr>
              <w:t>EN3-2A composes, edits and presents well-structured and coherent texts</w:t>
            </w:r>
          </w:p>
          <w:p w:rsidR="005516CE" w:rsidRPr="005516CE" w:rsidRDefault="005516CE" w:rsidP="00666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5A3799" w:rsidRPr="005516CE" w:rsidTr="005A379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358" w:type="dxa"/>
            <w:gridSpan w:val="2"/>
          </w:tcPr>
          <w:p w:rsidR="005A3799" w:rsidRPr="005516CE" w:rsidRDefault="005A3799" w:rsidP="005A3799">
            <w:pPr>
              <w:pStyle w:val="NormalWeb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620" w:type="dxa"/>
          </w:tcPr>
          <w:p w:rsidR="005A3799" w:rsidRPr="005516CE" w:rsidRDefault="00666EB3" w:rsidP="005A3799">
            <w:pPr>
              <w:ind w:left="108"/>
              <w:rPr>
                <w:rFonts w:asciiTheme="majorHAnsi" w:hAnsiTheme="majorHAnsi" w:cs="Arial"/>
                <w:b/>
              </w:rPr>
            </w:pPr>
            <w:r w:rsidRPr="005516CE">
              <w:rPr>
                <w:rFonts w:asciiTheme="majorHAnsi" w:hAnsiTheme="majorHAnsi" w:cs="Arial"/>
                <w:b/>
              </w:rPr>
              <w:t>A</w:t>
            </w:r>
          </w:p>
        </w:tc>
        <w:tc>
          <w:tcPr>
            <w:tcW w:w="639" w:type="dxa"/>
            <w:gridSpan w:val="2"/>
          </w:tcPr>
          <w:p w:rsidR="005A3799" w:rsidRPr="005516CE" w:rsidRDefault="00666EB3" w:rsidP="005A3799">
            <w:pPr>
              <w:ind w:left="108"/>
              <w:rPr>
                <w:rFonts w:asciiTheme="majorHAnsi" w:hAnsiTheme="majorHAnsi" w:cs="Arial"/>
                <w:b/>
              </w:rPr>
            </w:pPr>
            <w:r w:rsidRPr="005516CE">
              <w:rPr>
                <w:rFonts w:asciiTheme="majorHAnsi" w:hAnsiTheme="majorHAnsi" w:cs="Arial"/>
                <w:b/>
              </w:rPr>
              <w:t>B</w:t>
            </w:r>
          </w:p>
        </w:tc>
        <w:tc>
          <w:tcPr>
            <w:tcW w:w="638" w:type="dxa"/>
            <w:gridSpan w:val="2"/>
          </w:tcPr>
          <w:p w:rsidR="005A3799" w:rsidRPr="005516CE" w:rsidRDefault="00666EB3" w:rsidP="005A3799">
            <w:pPr>
              <w:ind w:left="108"/>
              <w:rPr>
                <w:rFonts w:asciiTheme="majorHAnsi" w:hAnsiTheme="majorHAnsi" w:cs="Arial"/>
                <w:b/>
              </w:rPr>
            </w:pPr>
            <w:r w:rsidRPr="005516CE">
              <w:rPr>
                <w:rFonts w:asciiTheme="majorHAnsi" w:hAnsiTheme="majorHAnsi" w:cs="Arial"/>
                <w:b/>
              </w:rPr>
              <w:t>C</w:t>
            </w:r>
          </w:p>
        </w:tc>
        <w:tc>
          <w:tcPr>
            <w:tcW w:w="620" w:type="dxa"/>
          </w:tcPr>
          <w:p w:rsidR="005A3799" w:rsidRPr="005516CE" w:rsidRDefault="00666EB3" w:rsidP="005A3799">
            <w:pPr>
              <w:ind w:left="108"/>
              <w:rPr>
                <w:rFonts w:asciiTheme="majorHAnsi" w:hAnsiTheme="majorHAnsi" w:cs="Arial"/>
                <w:b/>
              </w:rPr>
            </w:pPr>
            <w:r w:rsidRPr="005516CE">
              <w:rPr>
                <w:rFonts w:asciiTheme="majorHAnsi" w:hAnsiTheme="majorHAnsi" w:cs="Arial"/>
                <w:b/>
              </w:rPr>
              <w:t>D</w:t>
            </w:r>
          </w:p>
        </w:tc>
        <w:tc>
          <w:tcPr>
            <w:tcW w:w="597" w:type="dxa"/>
            <w:gridSpan w:val="2"/>
          </w:tcPr>
          <w:p w:rsidR="005A3799" w:rsidRPr="005516CE" w:rsidRDefault="00666EB3" w:rsidP="005A3799">
            <w:pPr>
              <w:ind w:left="108"/>
              <w:rPr>
                <w:rFonts w:asciiTheme="majorHAnsi" w:hAnsiTheme="majorHAnsi" w:cs="Arial"/>
                <w:b/>
              </w:rPr>
            </w:pPr>
            <w:r w:rsidRPr="005516CE">
              <w:rPr>
                <w:rFonts w:asciiTheme="majorHAnsi" w:hAnsiTheme="majorHAnsi" w:cs="Arial"/>
                <w:b/>
              </w:rPr>
              <w:t>E</w:t>
            </w:r>
          </w:p>
        </w:tc>
      </w:tr>
      <w:tr w:rsidR="005A3799" w:rsidRPr="005516CE" w:rsidTr="005A379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358" w:type="dxa"/>
            <w:gridSpan w:val="2"/>
          </w:tcPr>
          <w:p w:rsidR="005A3799" w:rsidRPr="005516CE" w:rsidRDefault="005516CE" w:rsidP="005A3799">
            <w:pPr>
              <w:pStyle w:val="NormalWeb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>Plan</w:t>
            </w:r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, draft and publish </w:t>
            </w:r>
            <w:hyperlink r:id="rId6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imaginative, informative and persuasive texts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, choosing and experimenting with </w:t>
            </w:r>
            <w:hyperlink r:id="rId7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text structures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, </w:t>
            </w:r>
            <w:hyperlink r:id="rId8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language features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>, images and digital resources appropriate to </w:t>
            </w:r>
            <w:hyperlink r:id="rId9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purpose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 and audience</w:t>
            </w:r>
          </w:p>
        </w:tc>
        <w:tc>
          <w:tcPr>
            <w:tcW w:w="620" w:type="dxa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9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8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20" w:type="dxa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</w:tr>
      <w:tr w:rsidR="005516CE" w:rsidRPr="005516CE" w:rsidTr="005A379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358" w:type="dxa"/>
            <w:gridSpan w:val="2"/>
          </w:tcPr>
          <w:p w:rsidR="005516CE" w:rsidRPr="005516CE" w:rsidRDefault="005516CE" w:rsidP="005A3799">
            <w:pPr>
              <w:pStyle w:val="NormalWeb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>Understand</w:t>
            </w:r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>, interpret and experiment with the use of </w:t>
            </w:r>
            <w:hyperlink r:id="rId10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imagery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 in imaginative texts, poetry and songs, </w:t>
            </w:r>
            <w:proofErr w:type="spellStart"/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>eg</w:t>
            </w:r>
            <w:proofErr w:type="spellEnd"/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hyperlink r:id="rId11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similes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, </w:t>
            </w:r>
            <w:hyperlink r:id="rId12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m</w:t>
              </w:r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e</w:t>
              </w:r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taphors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, </w:t>
            </w:r>
            <w:hyperlink r:id="rId13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personification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 and sound devices such as </w:t>
            </w:r>
            <w:hyperlink r:id="rId14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alliteration</w:t>
              </w:r>
            </w:hyperlink>
          </w:p>
        </w:tc>
        <w:tc>
          <w:tcPr>
            <w:tcW w:w="620" w:type="dxa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9" w:type="dxa"/>
            <w:gridSpan w:val="2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8" w:type="dxa"/>
            <w:gridSpan w:val="2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20" w:type="dxa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  <w:gridSpan w:val="2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</w:tr>
      <w:tr w:rsidR="005516CE" w:rsidRPr="005516CE" w:rsidTr="005A379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358" w:type="dxa"/>
            <w:gridSpan w:val="2"/>
          </w:tcPr>
          <w:p w:rsidR="005516CE" w:rsidRPr="005516CE" w:rsidRDefault="005516CE" w:rsidP="005A3799">
            <w:pPr>
              <w:pStyle w:val="NormalWeb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lastRenderedPageBreak/>
              <w:t>Investigate</w:t>
            </w:r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 how complex </w:t>
            </w:r>
            <w:hyperlink r:id="rId15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sentences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 can be used in a variety of ways to elaborate, extend and explain ideas</w:t>
            </w:r>
          </w:p>
        </w:tc>
        <w:tc>
          <w:tcPr>
            <w:tcW w:w="620" w:type="dxa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9" w:type="dxa"/>
            <w:gridSpan w:val="2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8" w:type="dxa"/>
            <w:gridSpan w:val="2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20" w:type="dxa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  <w:gridSpan w:val="2"/>
          </w:tcPr>
          <w:p w:rsidR="005516CE" w:rsidRPr="005516CE" w:rsidRDefault="005516CE" w:rsidP="005A3799">
            <w:pPr>
              <w:ind w:left="108"/>
              <w:rPr>
                <w:rFonts w:asciiTheme="majorHAnsi" w:hAnsiTheme="majorHAnsi" w:cs="Arial"/>
              </w:rPr>
            </w:pPr>
          </w:p>
        </w:tc>
      </w:tr>
      <w:tr w:rsidR="005A3799" w:rsidRPr="005516CE" w:rsidTr="005A379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358" w:type="dxa"/>
            <w:gridSpan w:val="2"/>
          </w:tcPr>
          <w:p w:rsidR="005A3799" w:rsidRPr="005516CE" w:rsidRDefault="005516CE" w:rsidP="005A3799">
            <w:pPr>
              <w:pStyle w:val="NormalWeb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>Understand</w:t>
            </w:r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 and use the key elements of planning, composing, reviewing and publishing in order to meet the increasing demands of topic, </w:t>
            </w:r>
            <w:hyperlink r:id="rId16" w:history="1">
              <w:r w:rsidRPr="005516CE">
                <w:rPr>
                  <w:rFonts w:asciiTheme="majorHAnsi" w:hAnsiTheme="majorHAnsi" w:cs="Arial"/>
                  <w:i/>
                  <w:sz w:val="24"/>
                  <w:szCs w:val="24"/>
                </w:rPr>
                <w:t>audience</w:t>
              </w:r>
            </w:hyperlink>
            <w:r w:rsidRPr="005516CE">
              <w:rPr>
                <w:rFonts w:asciiTheme="majorHAnsi" w:hAnsiTheme="majorHAnsi" w:cs="Arial"/>
                <w:i/>
                <w:sz w:val="24"/>
                <w:szCs w:val="24"/>
              </w:rPr>
              <w:t xml:space="preserve"> and language</w:t>
            </w:r>
          </w:p>
        </w:tc>
        <w:tc>
          <w:tcPr>
            <w:tcW w:w="620" w:type="dxa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9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38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620" w:type="dxa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  <w:gridSpan w:val="2"/>
          </w:tcPr>
          <w:p w:rsidR="005A3799" w:rsidRPr="005516CE" w:rsidRDefault="005A3799" w:rsidP="005A3799">
            <w:pPr>
              <w:ind w:left="108"/>
              <w:rPr>
                <w:rFonts w:asciiTheme="majorHAnsi" w:hAnsiTheme="majorHAnsi" w:cs="Arial"/>
              </w:rPr>
            </w:pPr>
          </w:p>
        </w:tc>
      </w:tr>
    </w:tbl>
    <w:p w:rsidR="001B282E" w:rsidRDefault="001B282E"/>
    <w:p w:rsidR="00666EB3" w:rsidRDefault="00666EB3"/>
    <w:p w:rsidR="00666EB3" w:rsidRDefault="00666EB3"/>
    <w:p w:rsidR="00666EB3" w:rsidRDefault="00666EB3"/>
    <w:p w:rsidR="00666EB3" w:rsidRDefault="00666EB3"/>
    <w:p w:rsidR="00666EB3" w:rsidRDefault="00666EB3"/>
    <w:p w:rsidR="00666EB3" w:rsidRDefault="00666EB3"/>
    <w:p w:rsidR="001B282E" w:rsidRDefault="001B282E" w:rsidP="001B28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ab/>
      </w:r>
      <w:r>
        <w:rPr>
          <w:rFonts w:ascii="Helvetica Neue" w:hAnsi="Helvetica Neue" w:cs="Helvetica Neue"/>
          <w:sz w:val="28"/>
          <w:szCs w:val="28"/>
        </w:rPr>
        <w:tab/>
        <w:t xml:space="preserve"> </w:t>
      </w:r>
    </w:p>
    <w:p w:rsidR="00114696" w:rsidRPr="005516CE" w:rsidRDefault="001B282E" w:rsidP="0011469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ab/>
      </w:r>
      <w:r>
        <w:rPr>
          <w:rFonts w:ascii="Helvetica Neue" w:hAnsi="Helvetica Neue" w:cs="Helvetica Neue"/>
          <w:sz w:val="28"/>
          <w:szCs w:val="28"/>
        </w:rPr>
        <w:tab/>
      </w:r>
    </w:p>
    <w:sectPr w:rsidR="00114696" w:rsidRPr="005516CE" w:rsidSect="005537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644DCA"/>
    <w:multiLevelType w:val="hybridMultilevel"/>
    <w:tmpl w:val="22D83918"/>
    <w:lvl w:ilvl="0" w:tplc="D9C623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44E9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48D9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884E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1228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18D3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A0C4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2AB4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F26F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6"/>
    <w:rsid w:val="00114696"/>
    <w:rsid w:val="001B282E"/>
    <w:rsid w:val="005516CE"/>
    <w:rsid w:val="0055374A"/>
    <w:rsid w:val="005A3799"/>
    <w:rsid w:val="00666EB3"/>
    <w:rsid w:val="00850D2E"/>
    <w:rsid w:val="00E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17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28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C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28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C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yllabus.bos.nsw.edu.au/glossary/eng/simile/?ajax" TargetMode="External"/><Relationship Id="rId12" Type="http://schemas.openxmlformats.org/officeDocument/2006/relationships/hyperlink" Target="http://syllabus.bos.nsw.edu.au/glossary/eng/metaphor/?ajax" TargetMode="External"/><Relationship Id="rId13" Type="http://schemas.openxmlformats.org/officeDocument/2006/relationships/hyperlink" Target="http://syllabus.bos.nsw.edu.au/glossary/eng/personification/?ajax" TargetMode="External"/><Relationship Id="rId14" Type="http://schemas.openxmlformats.org/officeDocument/2006/relationships/hyperlink" Target="http://syllabus.bos.nsw.edu.au/glossary/eng/alliteration/?ajax" TargetMode="External"/><Relationship Id="rId15" Type="http://schemas.openxmlformats.org/officeDocument/2006/relationships/hyperlink" Target="http://syllabus.bos.nsw.edu.au/glossary/eng/sentence/?ajax" TargetMode="External"/><Relationship Id="rId16" Type="http://schemas.openxmlformats.org/officeDocument/2006/relationships/hyperlink" Target="http://syllabus.bos.nsw.edu.au/glossary/eng/audience/?aja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yllabus.bos.nsw.edu.au/glossary/eng/types-of-texts/?ajax" TargetMode="External"/><Relationship Id="rId7" Type="http://schemas.openxmlformats.org/officeDocument/2006/relationships/hyperlink" Target="http://syllabus.bos.nsw.edu.au/glossary/eng/text-structure/?ajax" TargetMode="External"/><Relationship Id="rId8" Type="http://schemas.openxmlformats.org/officeDocument/2006/relationships/hyperlink" Target="http://syllabus.bos.nsw.edu.au/glossary/eng/language-features/?ajax" TargetMode="External"/><Relationship Id="rId9" Type="http://schemas.openxmlformats.org/officeDocument/2006/relationships/hyperlink" Target="http://syllabus.bos.nsw.edu.au/glossary/eng/purpose/?ajax" TargetMode="External"/><Relationship Id="rId10" Type="http://schemas.openxmlformats.org/officeDocument/2006/relationships/hyperlink" Target="http://syllabus.bos.nsw.edu.au/glossary/eng/imagery/?a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437</Words>
  <Characters>2496</Characters>
  <Application>Microsoft Macintosh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2014-09-23T04:37:00Z</dcterms:created>
  <dcterms:modified xsi:type="dcterms:W3CDTF">2014-09-23T10:26:00Z</dcterms:modified>
</cp:coreProperties>
</file>